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itext"/>
        <w:spacing w:before="124" w:after="0"/>
        <w:rPr>
          <w:szCs w:val="24"/>
        </w:rPr>
      </w:pPr>
      <w:r>
        <w:rPr>
          <w:szCs w:val="24"/>
        </w:rPr>
        <w:t>Příloha č.1 k LP OP-NCK 04 2024</w:t>
      </w:r>
    </w:p>
    <w:p>
      <w:pPr>
        <w:pStyle w:val="normalnitext"/>
        <w:rPr>
          <w:szCs w:val="24"/>
        </w:rPr>
      </w:pPr>
      <w:r>
        <w:rPr>
          <w:b/>
          <w:szCs w:val="24"/>
        </w:rPr>
        <w:t>Seznam interních pracovních postupů</w:t>
      </w:r>
      <w:r>
        <w:rPr>
          <w:szCs w:val="24"/>
        </w:rPr>
        <w:t>:</w:t>
      </w:r>
    </w:p>
    <w:tbl>
      <w:tblPr>
        <w:tblW w:w="9464" w:type="dxa"/>
        <w:jc w:val="left"/>
        <w:tblInd w:w="-1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20"/>
        <w:gridCol w:w="2443"/>
      </w:tblGrid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Hematoxylin – Eosin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Hematoxylin – Van Gieson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FE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Alciánová modř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004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Příprava Lilieho tekutiny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Elastika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PAL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PAS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Trichrom zelený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GRAMM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BK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HBsAg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Saturnová červeň – amyloid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Kongo – amyloid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May Grünwald – Giemsa Romanowski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Giemsa 15 min.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Luxolová modř (myelin)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Sudan III (tuky)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018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Kresylvioleť (žírné buňky)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KOSSA (vápenaté soli)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Warthin – Starry (Helicobacter pylori)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NOR (senilní drůzy)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Braunmühl (senilní drůzy 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Retikulum – Gömori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Barvení Groccot – plísně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Imunohistochemické vyšetření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Rychlý zmrazený řez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Parafinové zpracování tkáně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Odvápnění metodou MicroDec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029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Odvápnění chelatonem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Cytologické zpracování tekutin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</w:t>
            </w:r>
          </w:p>
        </w:tc>
      </w:tr>
      <w:tr>
        <w:trPr/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Odpigmentování (bělení) melaninu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</w:t>
            </w:r>
          </w:p>
        </w:tc>
      </w:tr>
    </w:tbl>
    <w:p>
      <w:pPr>
        <w:pStyle w:val="normalnitext"/>
        <w:rPr>
          <w:szCs w:val="24"/>
        </w:rPr>
      </w:pPr>
      <w:r>
        <w:rPr>
          <w:szCs w:val="24"/>
        </w:rPr>
        <w:t>Příloha č.2 k LP OP-NCK 04 2024</w:t>
      </w:r>
    </w:p>
    <w:p>
      <w:pPr>
        <w:pStyle w:val="normalnitext"/>
        <w:rPr>
          <w:b/>
          <w:sz w:val="22"/>
          <w:szCs w:val="22"/>
          <w:u w:val="single"/>
        </w:rPr>
      </w:pPr>
      <w:r>
        <w:rPr>
          <w:b/>
          <w:szCs w:val="24"/>
        </w:rPr>
        <w:t>Seznam protilátek používaných při imunohistochemickém vyšetření</w:t>
      </w:r>
      <w:r>
        <w:rPr>
          <w:szCs w:val="24"/>
        </w:rPr>
        <w:t>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SMA (</w:t>
            </w:r>
            <w:r>
              <w:rPr>
                <w:sz w:val="22"/>
                <w:szCs w:val="22"/>
              </w:rPr>
              <w:t>IA4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P40 </w:t>
            </w:r>
            <w:r>
              <w:rPr>
                <w:sz w:val="22"/>
                <w:szCs w:val="22"/>
              </w:rPr>
              <w:t>(BC28)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S100 </w:t>
            </w:r>
            <w:r>
              <w:rPr>
                <w:sz w:val="22"/>
                <w:szCs w:val="22"/>
              </w:rPr>
              <w:t>(Polyclonal)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P63 </w:t>
            </w:r>
            <w:r>
              <w:rPr>
                <w:sz w:val="22"/>
                <w:szCs w:val="22"/>
              </w:rPr>
              <w:t>(SFI6)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Melan A </w:t>
            </w:r>
            <w:r>
              <w:rPr>
                <w:sz w:val="22"/>
                <w:szCs w:val="22"/>
              </w:rPr>
              <w:t>(A103)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Podoplanin </w:t>
            </w:r>
            <w:r>
              <w:rPr>
                <w:sz w:val="22"/>
                <w:szCs w:val="22"/>
              </w:rPr>
              <w:t>(D2–40 )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CKAE1/3 </w:t>
            </w:r>
            <w:r>
              <w:rPr>
                <w:sz w:val="22"/>
                <w:szCs w:val="22"/>
              </w:rPr>
              <w:t>(PCK26)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CD34 </w:t>
            </w:r>
            <w:r>
              <w:rPr>
                <w:sz w:val="22"/>
                <w:szCs w:val="22"/>
              </w:rPr>
              <w:t>(QBEnd/10)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CK7 </w:t>
            </w:r>
            <w:r>
              <w:rPr>
                <w:sz w:val="22"/>
                <w:szCs w:val="22"/>
              </w:rPr>
              <w:t>(OV-TL12/30)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SOX10 </w:t>
            </w:r>
            <w:r>
              <w:rPr>
                <w:sz w:val="22"/>
                <w:szCs w:val="22"/>
              </w:rPr>
              <w:t>(SP267)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CK20 </w:t>
            </w:r>
            <w:r>
              <w:rPr>
                <w:sz w:val="22"/>
                <w:szCs w:val="22"/>
              </w:rPr>
              <w:t>(ks20.8)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Estrogenový receptor </w:t>
            </w:r>
            <w:r>
              <w:rPr>
                <w:sz w:val="22"/>
                <w:szCs w:val="22"/>
              </w:rPr>
              <w:t>(SP1)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CD45LCA </w:t>
            </w:r>
            <w:r>
              <w:rPr>
                <w:sz w:val="22"/>
                <w:szCs w:val="22"/>
              </w:rPr>
              <w:t>(2B11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PD7/26)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Progesteronový receptor </w:t>
            </w:r>
            <w:r>
              <w:rPr>
                <w:sz w:val="22"/>
                <w:szCs w:val="22"/>
              </w:rPr>
              <w:t>(1E2)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Ki67 </w:t>
            </w:r>
            <w:r>
              <w:rPr>
                <w:sz w:val="22"/>
                <w:szCs w:val="22"/>
              </w:rPr>
              <w:t>(IHC067)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GATA3 </w:t>
            </w:r>
            <w:r>
              <w:rPr>
                <w:sz w:val="22"/>
                <w:szCs w:val="22"/>
              </w:rPr>
              <w:t>(L50-823)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P16 </w:t>
            </w:r>
            <w:r>
              <w:rPr>
                <w:sz w:val="22"/>
                <w:szCs w:val="22"/>
              </w:rPr>
              <w:t>(IHC116)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Helicobacter pylori </w:t>
            </w:r>
            <w:r>
              <w:rPr>
                <w:sz w:val="22"/>
                <w:szCs w:val="22"/>
              </w:rPr>
              <w:t>(Polyclonal)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p53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DO–7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Myeloperoxidase </w:t>
            </w:r>
            <w:r>
              <w:rPr>
                <w:sz w:val="22"/>
                <w:szCs w:val="22"/>
              </w:rPr>
              <w:t>(Polyclonal)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E–cadherin </w:t>
            </w:r>
            <w:r>
              <w:rPr>
                <w:sz w:val="22"/>
                <w:szCs w:val="22"/>
              </w:rPr>
              <w:t>(EP700Y)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Kappa </w:t>
            </w:r>
            <w:r>
              <w:rPr>
                <w:sz w:val="22"/>
                <w:szCs w:val="22"/>
              </w:rPr>
              <w:t>(LICI)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MUM1 </w:t>
            </w:r>
            <w:r>
              <w:rPr>
                <w:sz w:val="22"/>
                <w:szCs w:val="22"/>
              </w:rPr>
              <w:t>(EP190)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Lambda </w:t>
            </w:r>
            <w:r>
              <w:rPr>
                <w:sz w:val="22"/>
                <w:szCs w:val="22"/>
              </w:rPr>
              <w:t>(Lamb14)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 VIII </w:t>
            </w:r>
            <w:r>
              <w:rPr>
                <w:sz w:val="22"/>
                <w:szCs w:val="22"/>
              </w:rPr>
              <w:t>(Polyclonal)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CD20 </w:t>
            </w:r>
            <w:r>
              <w:rPr>
                <w:sz w:val="22"/>
                <w:szCs w:val="22"/>
              </w:rPr>
              <w:t>(L26)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CK19 </w:t>
            </w:r>
            <w:r>
              <w:rPr>
                <w:sz w:val="22"/>
                <w:szCs w:val="22"/>
              </w:rPr>
              <w:t>(A53-B/A2.26)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CDX–2 </w:t>
            </w:r>
            <w:r>
              <w:rPr>
                <w:sz w:val="22"/>
                <w:szCs w:val="22"/>
              </w:rPr>
              <w:t>(EPR2764Y)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CD68 </w:t>
            </w:r>
            <w:r>
              <w:rPr>
                <w:sz w:val="22"/>
                <w:szCs w:val="22"/>
              </w:rPr>
              <w:t>(KP-1)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WT1 (6F–H2)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Glycophorin </w:t>
            </w:r>
            <w:r>
              <w:rPr>
                <w:sz w:val="22"/>
                <w:szCs w:val="22"/>
              </w:rPr>
              <w:t>A (GA-R2)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INSM1 (SP493)</w:t>
            </w:r>
          </w:p>
        </w:tc>
      </w:tr>
      <w:tr>
        <w:trPr/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itext"/>
              <w:spacing w:before="124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Heading1"/>
        <w:numPr>
          <w:ilvl w:val="0"/>
          <w:numId w:val="0"/>
        </w:numPr>
        <w:ind w:hanging="0" w:left="0"/>
        <w:rPr/>
      </w:pPr>
      <w:r>
        <w:rPr/>
      </w:r>
    </w:p>
    <w:p>
      <w:pPr>
        <w:pStyle w:val="normalnitext"/>
        <w:rPr>
          <w:sz w:val="22"/>
          <w:szCs w:val="22"/>
        </w:rPr>
      </w:pPr>
      <w:r>
        <w:rPr>
          <w:sz w:val="22"/>
          <w:szCs w:val="22"/>
        </w:rPr>
        <w:t xml:space="preserve">Aktualizováno: </w:t>
      </w:r>
      <w:bookmarkStart w:id="0" w:name="_GoBack"/>
      <w:bookmarkEnd w:id="0"/>
      <w:r>
        <w:rPr>
          <w:sz w:val="22"/>
          <w:szCs w:val="22"/>
        </w:rPr>
        <w:t>14.3.2025</w:t>
      </w:r>
    </w:p>
    <w:p>
      <w:pPr>
        <w:pStyle w:val="Heading1"/>
        <w:numPr>
          <w:ilvl w:val="0"/>
          <w:numId w:val="0"/>
        </w:numPr>
        <w:ind w:hanging="0" w:left="0"/>
        <w:rPr>
          <w:b w:val="false"/>
          <w:u w:val="none"/>
        </w:rPr>
      </w:pPr>
      <w:r>
        <w:rPr>
          <w:b w:val="false"/>
          <w:u w:val="none"/>
        </w:rPr>
        <w:t>Zapsala: Bc. Andrea Hrdinová</w:t>
      </w:r>
    </w:p>
    <w:p>
      <w:pPr>
        <w:pStyle w:val="Normal"/>
        <w:rPr/>
      </w:pPr>
      <w:r>
        <w:rPr/>
        <w:t>Schválila: MUDr. Pavla Vítková</w:t>
      </w:r>
    </w:p>
    <w:p>
      <w:pPr>
        <w:pStyle w:val="normalnitex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nitex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nitext"/>
        <w:rPr>
          <w:b/>
          <w:u w:val="single"/>
        </w:rPr>
      </w:pPr>
      <w:r>
        <w:rPr>
          <w:b/>
          <w:u w:val="single"/>
        </w:rPr>
      </w:r>
    </w:p>
    <w:p>
      <w:pPr>
        <w:pStyle w:val="normalnitext"/>
        <w:rPr>
          <w:b/>
          <w:u w:val="single"/>
        </w:rPr>
      </w:pPr>
      <w:r>
        <w:rPr>
          <w:b/>
          <w:u w:val="single"/>
        </w:rPr>
      </w:r>
    </w:p>
    <w:p>
      <w:pPr>
        <w:pStyle w:val="normalnitext"/>
        <w:rPr>
          <w:b/>
          <w:u w:val="single"/>
        </w:rPr>
      </w:pPr>
      <w:r>
        <w:rPr>
          <w:b/>
          <w:u w:val="single"/>
        </w:rPr>
      </w:r>
    </w:p>
    <w:p>
      <w:pPr>
        <w:pStyle w:val="normalnitext"/>
        <w:rPr>
          <w:b/>
          <w:u w:val="single"/>
        </w:rPr>
      </w:pPr>
      <w:r>
        <w:rPr>
          <w:b/>
          <w:u w:val="single"/>
        </w:rPr>
      </w:r>
    </w:p>
    <w:p>
      <w:pPr>
        <w:pStyle w:val="normalnitext"/>
        <w:rPr>
          <w:b/>
          <w:u w:val="single"/>
        </w:rPr>
      </w:pPr>
      <w:r>
        <w:rPr>
          <w:b/>
          <w:u w:val="single"/>
        </w:rPr>
      </w:r>
    </w:p>
    <w:p>
      <w:pPr>
        <w:pStyle w:val="normalnitext"/>
        <w:rPr>
          <w:b/>
          <w:u w:val="single"/>
        </w:rPr>
      </w:pPr>
      <w:r>
        <w:rPr>
          <w:b/>
          <w:u w:val="single"/>
        </w:rPr>
      </w:r>
    </w:p>
    <w:p>
      <w:pPr>
        <w:pStyle w:val="normalnitext"/>
        <w:rPr>
          <w:b/>
          <w:u w:val="single"/>
        </w:rPr>
      </w:pPr>
      <w:r>
        <w:rPr>
          <w:b/>
          <w:u w:val="single"/>
        </w:rPr>
      </w:r>
    </w:p>
    <w:p>
      <w:pPr>
        <w:pStyle w:val="normalnitext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20" w:top="1417" w:footer="720" w:bottom="141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205105</wp:posOffset>
          </wp:positionH>
          <wp:positionV relativeFrom="paragraph">
            <wp:posOffset>75565</wp:posOffset>
          </wp:positionV>
          <wp:extent cx="1502410" cy="815340"/>
          <wp:effectExtent l="0" t="0" r="0" b="0"/>
          <wp:wrapNone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8153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>
    <w:pPr>
      <w:pStyle w:val="Header"/>
      <w:rPr/>
    </w:pPr>
    <w:r>
      <w:rPr/>
      <w:t xml:space="preserve"> </w:t>
    </w:r>
    <w:r>
      <w:rPr/>
      <w:tab/>
      <w:t xml:space="preserve">           LP OP-NCK 04 2024 Přílohy</w:t>
    </w:r>
  </w:p>
  <w:p>
    <w:pPr>
      <w:pStyle w:val="Header"/>
      <w:jc w:val="both"/>
      <w:rPr/>
    </w:pPr>
    <w:r>
      <w:rPr/>
      <w:t xml:space="preserve"> </w:t>
    </w:r>
    <w:r>
      <w:rPr/>
      <w:tab/>
      <w:t xml:space="preserve">                              NCK, Nemocniční 429, Horní Brána, 38127 Český Krumlov</w:t>
    </w:r>
  </w:p>
  <w:p>
    <w:pPr>
      <w:pStyle w:val="Header"/>
      <w:rPr/>
    </w:pPr>
    <w:r>
      <w:rPr/>
      <w:t xml:space="preserve"> </w:t>
    </w:r>
    <w:r>
      <w:rPr/>
      <w:t xml:space="preserve">Verze: 01/ 3.10.2024                                                                                Platnost od: 3.10.2024                                                                          </w:t>
    </w:r>
  </w:p>
  <w:p>
    <w:pPr>
      <w:pStyle w:val="Header"/>
      <w:rPr/>
    </w:pPr>
    <w:r>
      <w:rPr/>
      <w:t>===================================================================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205105</wp:posOffset>
          </wp:positionH>
          <wp:positionV relativeFrom="paragraph">
            <wp:posOffset>75565</wp:posOffset>
          </wp:positionV>
          <wp:extent cx="1502410" cy="815340"/>
          <wp:effectExtent l="0" t="0" r="0" b="0"/>
          <wp:wrapNone/>
          <wp:docPr id="2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8153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>
    <w:pPr>
      <w:pStyle w:val="Header"/>
      <w:rPr/>
    </w:pPr>
    <w:r>
      <w:rPr/>
      <w:t xml:space="preserve"> </w:t>
    </w:r>
    <w:r>
      <w:rPr/>
      <w:tab/>
      <w:t xml:space="preserve">           LP OP-NCK 04 2024 Přílohy</w:t>
    </w:r>
  </w:p>
  <w:p>
    <w:pPr>
      <w:pStyle w:val="Header"/>
      <w:jc w:val="both"/>
      <w:rPr/>
    </w:pPr>
    <w:r>
      <w:rPr/>
      <w:t xml:space="preserve"> </w:t>
    </w:r>
    <w:r>
      <w:rPr/>
      <w:tab/>
      <w:t xml:space="preserve">                              NCK, Nemocniční 429, Horní Brána, 38127 Český Krumlov</w:t>
    </w:r>
  </w:p>
  <w:p>
    <w:pPr>
      <w:pStyle w:val="Header"/>
      <w:rPr/>
    </w:pPr>
    <w:r>
      <w:rPr/>
      <w:t xml:space="preserve"> </w:t>
    </w:r>
    <w:r>
      <w:rPr/>
      <w:t xml:space="preserve">Verze: 01/ 3.10.2024                                                                                Platnost od: 3.10.2024                                                                          </w:t>
    </w:r>
  </w:p>
  <w:p>
    <w:pPr>
      <w:pStyle w:val="Header"/>
      <w:rPr/>
    </w:pPr>
    <w:r>
      <w:rPr/>
      <w:t>===================================================================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e5f1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ar-SA" w:bidi="ar-SA"/>
    </w:rPr>
  </w:style>
  <w:style w:type="paragraph" w:styleId="Heading1">
    <w:name w:val="heading 1"/>
    <w:basedOn w:val="Normal"/>
    <w:next w:val="Normal"/>
    <w:link w:val="Nadpis1Char"/>
    <w:qFormat/>
    <w:rsid w:val="00ae5f16"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qFormat/>
    <w:rsid w:val="00ae5f16"/>
    <w:rPr>
      <w:rFonts w:ascii="Times New Roman" w:hAnsi="Times New Roman" w:eastAsia="Times New Roman" w:cs="Times New Roman"/>
      <w:b/>
      <w:bCs/>
      <w:sz w:val="24"/>
      <w:szCs w:val="24"/>
      <w:u w:val="single"/>
      <w:lang w:eastAsia="ar-SA"/>
    </w:rPr>
  </w:style>
  <w:style w:type="character" w:styleId="ZhlavChar" w:customStyle="1">
    <w:name w:val="Záhlaví Char"/>
    <w:basedOn w:val="DefaultParagraphFont"/>
    <w:qFormat/>
    <w:rsid w:val="00ae5f16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e5f16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normalnitextChar" w:customStyle="1">
    <w:name w:val="normalni text Char"/>
    <w:link w:val="normalnitext"/>
    <w:qFormat/>
    <w:rsid w:val="00ae5f16"/>
    <w:rPr>
      <w:rFonts w:ascii="Times New Roman" w:hAnsi="Times New Roman" w:eastAsia="Times New Roman" w:cs="Times New Roman"/>
      <w:bCs/>
      <w:spacing w:val="-1"/>
      <w:sz w:val="24"/>
      <w:szCs w:val="28"/>
      <w:lang w:eastAsia="ar-SA"/>
    </w:rPr>
  </w:style>
  <w:style w:type="character" w:styleId="ZkladntextChar" w:customStyle="1">
    <w:name w:val="Základní text Char"/>
    <w:basedOn w:val="DefaultParagraphFont"/>
    <w:uiPriority w:val="99"/>
    <w:semiHidden/>
    <w:qFormat/>
    <w:rsid w:val="00ae5f16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e5f16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ae5f1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rsid w:val="00ae5f1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nitext" w:customStyle="1">
    <w:name w:val="normalni text"/>
    <w:basedOn w:val="BodyText"/>
    <w:link w:val="normalnitextChar"/>
    <w:qFormat/>
    <w:rsid w:val="00ae5f16"/>
    <w:pPr>
      <w:widowControl w:val="false"/>
      <w:tabs>
        <w:tab w:val="clear" w:pos="708"/>
        <w:tab w:val="left" w:pos="536" w:leader="none"/>
      </w:tabs>
      <w:suppressAutoHyphens w:val="false"/>
      <w:overflowPunct w:val="false"/>
      <w:spacing w:before="124" w:after="0"/>
      <w:ind w:right="232"/>
    </w:pPr>
    <w:rPr>
      <w:bCs/>
      <w:spacing w:val="-1"/>
      <w:szCs w:val="28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LibreOffice/24.8.0.3$Windows_X86_64 LibreOffice_project/0bdf1299c94fe897b119f97f3c613e9dca6be583</Application>
  <AppVersion>15.0000</AppVersion>
  <Pages>2</Pages>
  <Words>286</Words>
  <Characters>1845</Characters>
  <CharactersWithSpaces>2419</CharactersWithSpaces>
  <Paragraphs>113</Paragraphs>
  <Company>Nemocnice Cesky Krumlov,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2024-10-10T09:01:00Z</dcterms:created>
  <dc:creator>Andrea Hrdinová</dc:creator>
  <dc:description/>
  <dc:language>cs-CZ</dc:language>
  <cp:lastModifiedBy/>
  <cp:lastPrinted>2025-02-20T08:35:00Z</cp:lastPrinted>
  <dcterms:modified xsi:type="dcterms:W3CDTF">2025-03-14T15:01:35Z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